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1822" w14:textId="77777777" w:rsidR="00207C90" w:rsidRDefault="00207C90" w:rsidP="00207C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504DE" wp14:editId="5AC6961D">
                <wp:simplePos x="0" y="0"/>
                <wp:positionH relativeFrom="column">
                  <wp:posOffset>309880</wp:posOffset>
                </wp:positionH>
                <wp:positionV relativeFrom="paragraph">
                  <wp:posOffset>4062730</wp:posOffset>
                </wp:positionV>
                <wp:extent cx="476250" cy="228600"/>
                <wp:effectExtent l="0" t="0" r="0" b="0"/>
                <wp:wrapNone/>
                <wp:docPr id="118003896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F8CE2" id="Rektangel 1" o:spid="_x0000_s1026" style="position:absolute;margin-left:24.4pt;margin-top:319.9pt;width:37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562AE80B" wp14:editId="2DC58D9A">
            <wp:extent cx="3867150" cy="4533900"/>
            <wp:effectExtent l="0" t="0" r="0" b="0"/>
            <wp:docPr id="18108445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FBF478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B9AC50" wp14:editId="301443FE">
            <wp:extent cx="1708785" cy="4524375"/>
            <wp:effectExtent l="0" t="0" r="5715" b="9525"/>
            <wp:docPr id="787154343" name="Diagram 1" title="Diagram">
              <a:extLst xmlns:a="http://schemas.openxmlformats.org/drawingml/2006/main">
                <a:ext uri="{FF2B5EF4-FFF2-40B4-BE49-F238E27FC236}">
                  <a16:creationId xmlns:a16="http://schemas.microsoft.com/office/drawing/2014/main" id="{2E9CE165-6E6C-1B24-6937-7324DBC964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28B63BA" w14:textId="5116C0F1" w:rsidR="00EA1BAB" w:rsidRPr="00207C90" w:rsidRDefault="00EA1BAB" w:rsidP="00207C90"/>
    <w:sectPr w:rsidR="00EA1BAB" w:rsidRPr="0020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90"/>
    <w:rsid w:val="00207C90"/>
    <w:rsid w:val="002920AD"/>
    <w:rsid w:val="00A03344"/>
    <w:rsid w:val="00C53EB2"/>
    <w:rsid w:val="00E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A4BF"/>
  <w15:chartTrackingRefBased/>
  <w15:docId w15:val="{4F83658C-B485-425C-8A09-80E3350B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7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7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7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7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7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7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7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7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7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7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7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7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7C9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7C9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7C9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7C9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7C9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7C9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7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7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7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7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7C9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7C9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7C9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7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7C9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7C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rsa\Dropbox\Vasakyrkan\Ekonomi\Arbetsbok%202025\Kollekter%20t%20o%20m%202025-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rsa\Dropbox\Vasakyrkan\Ekonomi\Arbetsbok%202025\Kollekter%20t%20o%20m%202025-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2000" b="0" i="0">
                <a:solidFill>
                  <a:srgbClr val="757575"/>
                </a:solidFill>
                <a:latin typeface="Calibri Light"/>
              </a:defRPr>
            </a:pPr>
            <a:r>
              <a:rPr lang="sv-SE" sz="2000" b="0" i="0">
                <a:solidFill>
                  <a:srgbClr val="757575"/>
                </a:solidFill>
                <a:latin typeface="Calibri Light"/>
              </a:rPr>
              <a:t>Gåvomedelsrapport</a:t>
            </a:r>
          </a:p>
        </c:rich>
      </c:tx>
      <c:layout>
        <c:manualLayout>
          <c:xMode val="edge"/>
          <c:yMode val="edge"/>
          <c:x val="0.159433959407107"/>
          <c:y val="1.932367149758454E-2"/>
        </c:manualLayout>
      </c:layout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v>Utfall</c:v>
          </c:tx>
          <c:spPr>
            <a:solidFill>
              <a:srgbClr val="4472C4"/>
            </a:solidFill>
            <a:ln cmpd="sng">
              <a:solidFill>
                <a:srgbClr val="000000"/>
              </a:solidFill>
            </a:ln>
          </c:spPr>
          <c:invertIfNegative val="1"/>
          <c:cat>
            <c:strRef>
              <c:f>Sheet1!$F$23:$F$35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Sheet1!$G$23:$G$35</c:f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0-6E36-4766-8EEE-A7A94ACD290D}"/>
            </c:ext>
          </c:extLst>
        </c:ser>
        <c:ser>
          <c:idx val="1"/>
          <c:order val="1"/>
          <c:tx>
            <c:v>Budget/mån</c:v>
          </c:tx>
          <c:spPr>
            <a:solidFill>
              <a:srgbClr val="FFC000"/>
            </a:solidFill>
            <a:ln cmpd="sng">
              <a:solidFill>
                <a:srgbClr val="000000"/>
              </a:solidFill>
            </a:ln>
          </c:spPr>
          <c:invertIfNegative val="1"/>
          <c:cat>
            <c:strRef>
              <c:f>Sheet1!$F$23:$F$35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Sheet1!$H$23:$H$35</c:f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1-6E36-4766-8EEE-A7A94ACD290D}"/>
            </c:ext>
          </c:extLst>
        </c:ser>
        <c:ser>
          <c:idx val="2"/>
          <c:order val="2"/>
          <c:tx>
            <c:strRef>
              <c:f>Sheet1!$I$22</c:f>
              <c:strCache>
                <c:ptCount val="1"/>
                <c:pt idx="0">
                  <c:v>Utfall</c:v>
                </c:pt>
              </c:strCache>
            </c:strRef>
          </c:tx>
          <c:spPr>
            <a:solidFill>
              <a:srgbClr val="000000"/>
            </a:solidFill>
          </c:spPr>
          <c:invertIfNegative val="1"/>
          <c:cat>
            <c:strRef>
              <c:f>Sheet1!$F$23:$F$35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Sheet1!$I$23:$I$35</c:f>
              <c:numCache>
                <c:formatCode>#,##0</c:formatCode>
                <c:ptCount val="13"/>
                <c:pt idx="0">
                  <c:v>170834</c:v>
                </c:pt>
                <c:pt idx="1">
                  <c:v>185021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2-6E36-4766-8EEE-A7A94ACD290D}"/>
            </c:ext>
          </c:extLst>
        </c:ser>
        <c:ser>
          <c:idx val="3"/>
          <c:order val="3"/>
          <c:tx>
            <c:strRef>
              <c:f>Sheet1!$J$22</c:f>
              <c:strCache>
                <c:ptCount val="1"/>
                <c:pt idx="0">
                  <c:v>Budget/mån</c:v>
                </c:pt>
              </c:strCache>
            </c:strRef>
          </c:tx>
          <c:spPr>
            <a:solidFill>
              <a:srgbClr val="FFFF00"/>
            </a:solidFill>
          </c:spPr>
          <c:invertIfNegative val="1"/>
          <c:cat>
            <c:strRef>
              <c:f>Sheet1!$F$23:$F$35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Sheet1!$J$23:$J$35</c:f>
              <c:numCache>
                <c:formatCode>#,##0</c:formatCode>
                <c:ptCount val="13"/>
                <c:pt idx="0">
                  <c:v>168100</c:v>
                </c:pt>
                <c:pt idx="1">
                  <c:v>145550</c:v>
                </c:pt>
                <c:pt idx="2">
                  <c:v>180400</c:v>
                </c:pt>
                <c:pt idx="3">
                  <c:v>182450</c:v>
                </c:pt>
                <c:pt idx="4">
                  <c:v>172200</c:v>
                </c:pt>
                <c:pt idx="5">
                  <c:v>166050</c:v>
                </c:pt>
                <c:pt idx="6">
                  <c:v>153750</c:v>
                </c:pt>
                <c:pt idx="7">
                  <c:v>155800</c:v>
                </c:pt>
                <c:pt idx="8">
                  <c:v>182450</c:v>
                </c:pt>
                <c:pt idx="9">
                  <c:v>182450</c:v>
                </c:pt>
                <c:pt idx="10">
                  <c:v>182450</c:v>
                </c:pt>
                <c:pt idx="11">
                  <c:v>178350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3-6E36-4766-8EEE-A7A94ACD29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790693"/>
        <c:axId val="1068837713"/>
      </c:barChart>
      <c:catAx>
        <c:axId val="45579069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sv-SE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sv-SE"/>
          </a:p>
        </c:txPr>
        <c:crossAx val="1068837713"/>
        <c:crosses val="autoZero"/>
        <c:auto val="1"/>
        <c:lblAlgn val="ctr"/>
        <c:lblOffset val="100"/>
        <c:noMultiLvlLbl val="1"/>
      </c:catAx>
      <c:valAx>
        <c:axId val="1068837713"/>
        <c:scaling>
          <c:orientation val="minMax"/>
          <c:max val="220000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sv-SE"/>
              </a:p>
            </c:rich>
          </c:tx>
          <c:overlay val="0"/>
        </c:title>
        <c:numFmt formatCode="#,##0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sv-SE"/>
          </a:p>
        </c:txPr>
        <c:crossAx val="455790693"/>
        <c:crosses val="autoZero"/>
        <c:crossBetween val="between"/>
      </c:valAx>
    </c:plotArea>
    <c:legend>
      <c:legendPos val="t"/>
      <c:overlay val="0"/>
      <c:txPr>
        <a:bodyPr/>
        <a:lstStyle/>
        <a:p>
          <a:pPr lvl="0">
            <a:defRPr sz="900" b="0" i="0">
              <a:solidFill>
                <a:srgbClr val="1A1A1A"/>
              </a:solidFill>
              <a:latin typeface="+mn-lt"/>
            </a:defRPr>
          </a:pPr>
          <a:endParaRPr lang="sv-SE"/>
        </a:p>
      </c:txPr>
    </c:legend>
    <c:plotVisOnly val="1"/>
    <c:dispBlanksAs val="zero"/>
    <c:showDLblsOverMax val="1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400" b="1" i="0">
                <a:solidFill>
                  <a:srgbClr val="757575"/>
                </a:solidFill>
                <a:latin typeface="+mn-lt"/>
              </a:defRPr>
            </a:pPr>
            <a:r>
              <a:rPr lang="sv-SE" sz="1400" b="1" i="0">
                <a:solidFill>
                  <a:srgbClr val="757575"/>
                </a:solidFill>
                <a:latin typeface="+mn-lt"/>
              </a:rPr>
              <a:t>Hittills i år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spPr>
            <a:solidFill>
              <a:srgbClr val="000000"/>
            </a:solidFill>
            <a:ln cmpd="sng">
              <a:solidFill>
                <a:srgbClr val="000000"/>
              </a:solidFill>
            </a:ln>
          </c:spPr>
          <c:invertIfNegative val="1"/>
          <c:val>
            <c:numRef>
              <c:f>Sheet1!$I$36</c:f>
              <c:numCache>
                <c:formatCode>#,##0</c:formatCode>
                <c:ptCount val="1"/>
                <c:pt idx="0">
                  <c:v>355855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0-2467-4B35-86FB-724B2C9FC381}"/>
            </c:ext>
          </c:extLst>
        </c:ser>
        <c:ser>
          <c:idx val="1"/>
          <c:order val="1"/>
          <c:spPr>
            <a:solidFill>
              <a:srgbClr val="FFFF00"/>
            </a:solidFill>
            <a:ln cmpd="sng">
              <a:solidFill>
                <a:srgbClr val="000000"/>
              </a:solidFill>
            </a:ln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1-2467-4B35-86FB-724B2C9FC381}"/>
              </c:ext>
            </c:extLst>
          </c:dPt>
          <c:val>
            <c:numRef>
              <c:f>Sheet1!$J$36</c:f>
              <c:numCache>
                <c:formatCode>#,##0</c:formatCode>
                <c:ptCount val="1"/>
                <c:pt idx="0">
                  <c:v>2050000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2-2467-4B35-86FB-724B2C9FC3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5803307"/>
        <c:axId val="1096736856"/>
      </c:barChart>
      <c:catAx>
        <c:axId val="1835803307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sv-SE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96736856"/>
        <c:crosses val="autoZero"/>
        <c:auto val="1"/>
        <c:lblAlgn val="ctr"/>
        <c:lblOffset val="100"/>
        <c:noMultiLvlLbl val="1"/>
      </c:catAx>
      <c:valAx>
        <c:axId val="1096736856"/>
        <c:scaling>
          <c:orientation val="minMax"/>
          <c:max val="2100000"/>
          <c:min val="50000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sv-SE"/>
              </a:p>
            </c:rich>
          </c:tx>
          <c:overlay val="0"/>
        </c:title>
        <c:numFmt formatCode="#,##0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sv-SE"/>
          </a:p>
        </c:txPr>
        <c:crossAx val="1835803307"/>
        <c:crosses val="autoZero"/>
        <c:crossBetween val="between"/>
        <c:minorUnit val="50000"/>
      </c:valAx>
    </c:plotArea>
    <c:plotVisOnly val="1"/>
    <c:dispBlanksAs val="zero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Åke Andersson</dc:creator>
  <cp:keywords/>
  <dc:description/>
  <cp:lastModifiedBy>Lars Åke Andersson</cp:lastModifiedBy>
  <cp:revision>1</cp:revision>
  <dcterms:created xsi:type="dcterms:W3CDTF">2025-03-12T09:49:00Z</dcterms:created>
  <dcterms:modified xsi:type="dcterms:W3CDTF">2025-03-12T10:01:00Z</dcterms:modified>
</cp:coreProperties>
</file>